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B59D" w14:textId="77777777" w:rsidR="001411DC" w:rsidRDefault="001411DC" w:rsidP="001411DC">
      <w:pPr>
        <w:rPr>
          <w:rFonts w:cs="Arial"/>
          <w:b/>
        </w:rPr>
      </w:pPr>
    </w:p>
    <w:p w14:paraId="3608565D" w14:textId="3A394004" w:rsidR="001411DC" w:rsidRPr="00960A0C" w:rsidRDefault="001411DC" w:rsidP="001411DC">
      <w:pPr>
        <w:rPr>
          <w:rFonts w:cs="Arial"/>
        </w:rPr>
      </w:pPr>
      <w:r w:rsidRPr="00960A0C">
        <w:rPr>
          <w:rFonts w:cs="Arial"/>
          <w:b/>
        </w:rPr>
        <w:t>7.</w:t>
      </w:r>
      <w:r w:rsidRPr="00960A0C">
        <w:rPr>
          <w:rFonts w:cs="Arial"/>
          <w:b/>
        </w:rPr>
        <w:tab/>
        <w:t>ACTIVOS FINANCIEROS</w:t>
      </w:r>
    </w:p>
    <w:p w14:paraId="78E5F33E" w14:textId="77777777" w:rsidR="001411DC" w:rsidRPr="00960A0C" w:rsidRDefault="001411DC" w:rsidP="001411DC">
      <w:pPr>
        <w:widowControl w:val="0"/>
        <w:autoSpaceDE w:val="0"/>
        <w:autoSpaceDN w:val="0"/>
        <w:adjustRightInd w:val="0"/>
        <w:rPr>
          <w:rFonts w:cs="Arial"/>
        </w:rPr>
      </w:pPr>
    </w:p>
    <w:p w14:paraId="28B179FA" w14:textId="773C4D79" w:rsidR="001411DC" w:rsidRDefault="001411DC" w:rsidP="001411DC">
      <w:pPr>
        <w:widowControl w:val="0"/>
        <w:autoSpaceDE w:val="0"/>
        <w:autoSpaceDN w:val="0"/>
        <w:adjustRightInd w:val="0"/>
        <w:rPr>
          <w:rFonts w:cs="Arial"/>
        </w:rPr>
      </w:pPr>
      <w:r w:rsidRPr="00960A0C">
        <w:rPr>
          <w:rFonts w:cs="Arial"/>
        </w:rPr>
        <w:t>La composición de los activos financieros, al 31 de diciembre</w:t>
      </w:r>
      <w:r>
        <w:rPr>
          <w:rFonts w:cs="Arial"/>
        </w:rPr>
        <w:t xml:space="preserve"> de 2019</w:t>
      </w:r>
      <w:r w:rsidRPr="00960A0C">
        <w:rPr>
          <w:rFonts w:cs="Arial"/>
        </w:rPr>
        <w:t xml:space="preserve"> es la siguiente:</w:t>
      </w:r>
    </w:p>
    <w:p w14:paraId="3BA12764" w14:textId="77777777" w:rsidR="001411DC" w:rsidRPr="00960A0C" w:rsidRDefault="001411DC" w:rsidP="001411DC">
      <w:pPr>
        <w:widowControl w:val="0"/>
        <w:autoSpaceDE w:val="0"/>
        <w:autoSpaceDN w:val="0"/>
        <w:adjustRightInd w:val="0"/>
        <w:rPr>
          <w:rFonts w:cs="Arial"/>
        </w:rPr>
      </w:pPr>
    </w:p>
    <w:p w14:paraId="3070EA51" w14:textId="77777777" w:rsidR="001411DC" w:rsidRPr="00C920FC" w:rsidRDefault="001411DC" w:rsidP="001411DC">
      <w:pPr>
        <w:widowControl w:val="0"/>
        <w:autoSpaceDE w:val="0"/>
        <w:autoSpaceDN w:val="0"/>
        <w:adjustRightInd w:val="0"/>
        <w:rPr>
          <w:rFonts w:cs="Arial"/>
          <w:color w:val="FF0000"/>
        </w:rPr>
      </w:pPr>
      <w:r w:rsidRPr="005C22C4">
        <w:rPr>
          <w:noProof/>
        </w:rPr>
        <w:drawing>
          <wp:inline distT="0" distB="0" distL="0" distR="0" wp14:anchorId="254F7CDC" wp14:editId="7575B9CB">
            <wp:extent cx="5732145" cy="1632029"/>
            <wp:effectExtent l="0" t="0" r="190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1632029"/>
                    </a:xfrm>
                    <a:prstGeom prst="rect">
                      <a:avLst/>
                    </a:prstGeom>
                    <a:noFill/>
                    <a:ln>
                      <a:noFill/>
                    </a:ln>
                  </pic:spPr>
                </pic:pic>
              </a:graphicData>
            </a:graphic>
          </wp:inline>
        </w:drawing>
      </w:r>
    </w:p>
    <w:p w14:paraId="76D9E7BC" w14:textId="77777777" w:rsidR="001411DC" w:rsidRPr="00C920FC" w:rsidRDefault="001411DC" w:rsidP="001411DC">
      <w:pPr>
        <w:widowControl w:val="0"/>
        <w:autoSpaceDE w:val="0"/>
        <w:autoSpaceDN w:val="0"/>
        <w:adjustRightInd w:val="0"/>
        <w:rPr>
          <w:rFonts w:cs="Arial"/>
          <w:color w:val="FF0000"/>
        </w:rPr>
      </w:pPr>
    </w:p>
    <w:p w14:paraId="1DD14B99" w14:textId="77777777" w:rsidR="001411DC" w:rsidRDefault="001411DC" w:rsidP="001411DC">
      <w:pPr>
        <w:widowControl w:val="0"/>
        <w:autoSpaceDE w:val="0"/>
        <w:autoSpaceDN w:val="0"/>
        <w:adjustRightInd w:val="0"/>
        <w:rPr>
          <w:rFonts w:cs="Arial"/>
        </w:rPr>
      </w:pPr>
      <w:r w:rsidRPr="00960A0C">
        <w:rPr>
          <w:rFonts w:cs="Arial"/>
        </w:rPr>
        <w:t>Estos importes se desglosan en el balance de la siguiente forma:</w:t>
      </w:r>
    </w:p>
    <w:p w14:paraId="014DF844" w14:textId="77777777" w:rsidR="001411DC" w:rsidRPr="00960A0C" w:rsidRDefault="001411DC" w:rsidP="001411DC">
      <w:pPr>
        <w:widowControl w:val="0"/>
        <w:autoSpaceDE w:val="0"/>
        <w:autoSpaceDN w:val="0"/>
        <w:adjustRightInd w:val="0"/>
        <w:rPr>
          <w:rFonts w:cs="Arial"/>
        </w:rPr>
      </w:pPr>
    </w:p>
    <w:p w14:paraId="2739E75A" w14:textId="77777777" w:rsidR="001411DC" w:rsidRPr="00C920FC" w:rsidRDefault="001411DC" w:rsidP="001411DC">
      <w:pPr>
        <w:widowControl w:val="0"/>
        <w:autoSpaceDE w:val="0"/>
        <w:autoSpaceDN w:val="0"/>
        <w:adjustRightInd w:val="0"/>
        <w:rPr>
          <w:rFonts w:cs="Arial"/>
          <w:color w:val="FF0000"/>
        </w:rPr>
      </w:pPr>
      <w:r w:rsidRPr="005C22C4">
        <w:rPr>
          <w:noProof/>
        </w:rPr>
        <w:drawing>
          <wp:inline distT="0" distB="0" distL="0" distR="0" wp14:anchorId="40659197" wp14:editId="138F169D">
            <wp:extent cx="5732145" cy="1511775"/>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511775"/>
                    </a:xfrm>
                    <a:prstGeom prst="rect">
                      <a:avLst/>
                    </a:prstGeom>
                    <a:noFill/>
                    <a:ln>
                      <a:noFill/>
                    </a:ln>
                  </pic:spPr>
                </pic:pic>
              </a:graphicData>
            </a:graphic>
          </wp:inline>
        </w:drawing>
      </w:r>
    </w:p>
    <w:p w14:paraId="736D2655" w14:textId="77777777" w:rsidR="001411DC" w:rsidRPr="00C920FC" w:rsidRDefault="001411DC" w:rsidP="001411DC">
      <w:pPr>
        <w:tabs>
          <w:tab w:val="left" w:pos="720"/>
          <w:tab w:val="center" w:pos="4513"/>
        </w:tabs>
        <w:rPr>
          <w:rFonts w:cs="Arial"/>
          <w:b/>
          <w:color w:val="FF0000"/>
        </w:rPr>
      </w:pPr>
    </w:p>
    <w:p w14:paraId="09322F7E" w14:textId="77777777" w:rsidR="001411DC" w:rsidRDefault="001411DC" w:rsidP="001411DC">
      <w:pPr>
        <w:jc w:val="left"/>
        <w:rPr>
          <w:rFonts w:cs="Arial"/>
          <w:b/>
        </w:rPr>
      </w:pPr>
    </w:p>
    <w:p w14:paraId="56173C64" w14:textId="270F18AB" w:rsidR="001411DC" w:rsidRPr="00D82463" w:rsidRDefault="001411DC" w:rsidP="001411DC">
      <w:pPr>
        <w:jc w:val="left"/>
        <w:rPr>
          <w:rFonts w:cs="Arial"/>
          <w:b/>
        </w:rPr>
      </w:pPr>
      <w:r w:rsidRPr="00D82463">
        <w:rPr>
          <w:rFonts w:cs="Arial"/>
          <w:b/>
        </w:rPr>
        <w:t>7.1</w:t>
      </w:r>
      <w:r w:rsidRPr="00D82463">
        <w:rPr>
          <w:rFonts w:cs="Arial"/>
          <w:b/>
        </w:rPr>
        <w:tab/>
        <w:t>Préstamos y partidas a cobrar</w:t>
      </w:r>
    </w:p>
    <w:p w14:paraId="54749FB2" w14:textId="77777777" w:rsidR="001411DC" w:rsidRPr="00D82463" w:rsidRDefault="001411DC" w:rsidP="001411DC">
      <w:pPr>
        <w:rPr>
          <w:rFonts w:cs="Arial"/>
        </w:rPr>
      </w:pPr>
    </w:p>
    <w:p w14:paraId="191F4190" w14:textId="53F48CEB" w:rsidR="001411DC" w:rsidRDefault="001411DC" w:rsidP="001411DC">
      <w:pPr>
        <w:rPr>
          <w:rFonts w:cs="Arial"/>
        </w:rPr>
      </w:pPr>
      <w:r w:rsidRPr="00D82463">
        <w:rPr>
          <w:rFonts w:cs="Arial"/>
        </w:rPr>
        <w:t xml:space="preserve">El detalle de los activos financieros incluidos en esta categoría al 31 de diciembre </w:t>
      </w:r>
      <w:r>
        <w:rPr>
          <w:rFonts w:cs="Arial"/>
        </w:rPr>
        <w:t xml:space="preserve">de 2019 </w:t>
      </w:r>
      <w:r w:rsidRPr="00D82463">
        <w:rPr>
          <w:rFonts w:cs="Arial"/>
        </w:rPr>
        <w:t>es el siguiente:</w:t>
      </w:r>
    </w:p>
    <w:p w14:paraId="5F22F93E" w14:textId="77777777" w:rsidR="001411DC" w:rsidRDefault="001411DC" w:rsidP="001411DC">
      <w:pPr>
        <w:rPr>
          <w:rFonts w:cs="Arial"/>
        </w:rPr>
      </w:pPr>
    </w:p>
    <w:p w14:paraId="5BC0A7BF" w14:textId="77777777" w:rsidR="001411DC" w:rsidRDefault="001411DC" w:rsidP="001411DC">
      <w:pPr>
        <w:ind w:left="567" w:firstLine="142"/>
        <w:rPr>
          <w:rFonts w:cs="Arial"/>
        </w:rPr>
      </w:pPr>
      <w:r w:rsidRPr="005C22C4">
        <w:rPr>
          <w:noProof/>
        </w:rPr>
        <w:drawing>
          <wp:inline distT="0" distB="0" distL="0" distR="0" wp14:anchorId="736346D2" wp14:editId="42A0D290">
            <wp:extent cx="4489450" cy="106045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060450"/>
                    </a:xfrm>
                    <a:prstGeom prst="rect">
                      <a:avLst/>
                    </a:prstGeom>
                    <a:noFill/>
                    <a:ln>
                      <a:noFill/>
                    </a:ln>
                  </pic:spPr>
                </pic:pic>
              </a:graphicData>
            </a:graphic>
          </wp:inline>
        </w:drawing>
      </w:r>
    </w:p>
    <w:p w14:paraId="08F03DA1" w14:textId="77777777" w:rsidR="001411DC" w:rsidRPr="00C920FC" w:rsidRDefault="001411DC" w:rsidP="001411DC">
      <w:pPr>
        <w:rPr>
          <w:rFonts w:cs="Arial"/>
          <w:color w:val="FF0000"/>
        </w:rPr>
      </w:pPr>
    </w:p>
    <w:p w14:paraId="7D930918" w14:textId="6C7EE59A" w:rsidR="001411DC" w:rsidRPr="009F6A13" w:rsidRDefault="001411DC" w:rsidP="001411DC">
      <w:pPr>
        <w:rPr>
          <w:rFonts w:cs="Arial"/>
          <w:i/>
          <w:u w:val="single"/>
        </w:rPr>
      </w:pPr>
      <w:r w:rsidRPr="009F6A13">
        <w:rPr>
          <w:rFonts w:cs="Arial"/>
          <w:i/>
          <w:u w:val="single"/>
        </w:rPr>
        <w:t>Deudores comerciales y otras cuentas a cobrar</w:t>
      </w:r>
    </w:p>
    <w:p w14:paraId="0CD0CA5E" w14:textId="77777777" w:rsidR="001411DC" w:rsidRPr="009F6A13" w:rsidRDefault="001411DC" w:rsidP="001411DC">
      <w:pPr>
        <w:rPr>
          <w:rFonts w:cs="Arial"/>
          <w:highlight w:val="yellow"/>
        </w:rPr>
      </w:pPr>
    </w:p>
    <w:p w14:paraId="40F03A4F" w14:textId="532AABD6" w:rsidR="001411DC" w:rsidRPr="009F6A13" w:rsidRDefault="001411DC" w:rsidP="001411DC">
      <w:pPr>
        <w:rPr>
          <w:rFonts w:cs="Arial"/>
        </w:rPr>
      </w:pPr>
      <w:r w:rsidRPr="009F6A13">
        <w:rPr>
          <w:rFonts w:cs="Arial"/>
        </w:rPr>
        <w:t xml:space="preserve">La composición de este epígrafe al 31 de diciembre </w:t>
      </w:r>
      <w:r>
        <w:rPr>
          <w:rFonts w:cs="Arial"/>
        </w:rPr>
        <w:t xml:space="preserve">de 2019 </w:t>
      </w:r>
      <w:r w:rsidRPr="009F6A13">
        <w:rPr>
          <w:rFonts w:cs="Arial"/>
        </w:rPr>
        <w:t>es la siguiente:</w:t>
      </w:r>
    </w:p>
    <w:p w14:paraId="5AF9D173" w14:textId="77777777" w:rsidR="001411DC" w:rsidRPr="00C920FC" w:rsidRDefault="001411DC" w:rsidP="001411DC">
      <w:pPr>
        <w:rPr>
          <w:rFonts w:cs="Arial"/>
          <w:color w:val="FF0000"/>
        </w:rPr>
      </w:pPr>
    </w:p>
    <w:tbl>
      <w:tblPr>
        <w:tblW w:w="6740" w:type="dxa"/>
        <w:jc w:val="center"/>
        <w:tblCellMar>
          <w:left w:w="70" w:type="dxa"/>
          <w:right w:w="70" w:type="dxa"/>
        </w:tblCellMar>
        <w:tblLook w:val="04A0" w:firstRow="1" w:lastRow="0" w:firstColumn="1" w:lastColumn="0" w:noHBand="0" w:noVBand="1"/>
      </w:tblPr>
      <w:tblGrid>
        <w:gridCol w:w="4260"/>
        <w:gridCol w:w="1180"/>
        <w:gridCol w:w="1300"/>
      </w:tblGrid>
      <w:tr w:rsidR="001411DC" w:rsidRPr="00C920FC" w14:paraId="10C911CC" w14:textId="77777777" w:rsidTr="00A00355">
        <w:trPr>
          <w:trHeight w:val="225"/>
          <w:jc w:val="center"/>
        </w:trPr>
        <w:tc>
          <w:tcPr>
            <w:tcW w:w="4260" w:type="dxa"/>
            <w:tcBorders>
              <w:top w:val="single" w:sz="8" w:space="0" w:color="auto"/>
              <w:left w:val="nil"/>
              <w:bottom w:val="single" w:sz="8" w:space="0" w:color="auto"/>
              <w:right w:val="nil"/>
            </w:tcBorders>
            <w:shd w:val="clear" w:color="000000" w:fill="C0C0C0"/>
            <w:noWrap/>
            <w:vAlign w:val="center"/>
            <w:hideMark/>
          </w:tcPr>
          <w:p w14:paraId="3CE50012" w14:textId="77777777" w:rsidR="001411DC" w:rsidRPr="00AC5A3B" w:rsidRDefault="001411DC" w:rsidP="00A00355">
            <w:pPr>
              <w:rPr>
                <w:rFonts w:cs="Arial"/>
                <w:b/>
                <w:bCs/>
                <w:sz w:val="16"/>
                <w:szCs w:val="16"/>
                <w:lang w:val="es-ES" w:eastAsia="es-ES"/>
              </w:rPr>
            </w:pPr>
            <w:r w:rsidRPr="00AC5A3B">
              <w:rPr>
                <w:rFonts w:cs="Arial"/>
                <w:b/>
                <w:bCs/>
                <w:sz w:val="16"/>
                <w:szCs w:val="16"/>
                <w:lang w:val="es-ES" w:eastAsia="es-ES"/>
              </w:rPr>
              <w:t>(Euros)</w:t>
            </w:r>
          </w:p>
        </w:tc>
        <w:tc>
          <w:tcPr>
            <w:tcW w:w="1180" w:type="dxa"/>
            <w:tcBorders>
              <w:top w:val="single" w:sz="8" w:space="0" w:color="auto"/>
              <w:left w:val="nil"/>
              <w:bottom w:val="single" w:sz="8" w:space="0" w:color="auto"/>
              <w:right w:val="nil"/>
            </w:tcBorders>
            <w:shd w:val="clear" w:color="000000" w:fill="C0C0C0"/>
            <w:vAlign w:val="center"/>
            <w:hideMark/>
          </w:tcPr>
          <w:p w14:paraId="38407D78" w14:textId="77777777" w:rsidR="001411DC" w:rsidRPr="00AC5A3B" w:rsidRDefault="001411DC" w:rsidP="00A00355">
            <w:pPr>
              <w:jc w:val="center"/>
              <w:rPr>
                <w:rFonts w:cs="Arial"/>
                <w:b/>
                <w:bCs/>
                <w:sz w:val="16"/>
                <w:szCs w:val="16"/>
                <w:lang w:val="es-ES" w:eastAsia="es-ES"/>
              </w:rPr>
            </w:pPr>
            <w:r w:rsidRPr="00AC5A3B">
              <w:rPr>
                <w:rFonts w:cs="Arial"/>
                <w:b/>
                <w:bCs/>
                <w:sz w:val="16"/>
                <w:szCs w:val="16"/>
                <w:lang w:val="es-ES" w:eastAsia="es-ES"/>
              </w:rPr>
              <w:t>201</w:t>
            </w:r>
            <w:r>
              <w:rPr>
                <w:rFonts w:cs="Arial"/>
                <w:b/>
                <w:bCs/>
                <w:sz w:val="16"/>
                <w:szCs w:val="16"/>
                <w:lang w:val="es-ES" w:eastAsia="es-ES"/>
              </w:rPr>
              <w:t>9</w:t>
            </w:r>
          </w:p>
        </w:tc>
        <w:tc>
          <w:tcPr>
            <w:tcW w:w="1300" w:type="dxa"/>
            <w:tcBorders>
              <w:top w:val="single" w:sz="8" w:space="0" w:color="auto"/>
              <w:left w:val="nil"/>
              <w:bottom w:val="single" w:sz="8" w:space="0" w:color="auto"/>
              <w:right w:val="nil"/>
            </w:tcBorders>
            <w:shd w:val="clear" w:color="000000" w:fill="C0C0C0"/>
            <w:vAlign w:val="center"/>
            <w:hideMark/>
          </w:tcPr>
          <w:p w14:paraId="1D1A30A6" w14:textId="77777777" w:rsidR="001411DC" w:rsidRPr="00AC5A3B" w:rsidRDefault="001411DC" w:rsidP="00A00355">
            <w:pPr>
              <w:jc w:val="center"/>
              <w:rPr>
                <w:rFonts w:cs="Arial"/>
                <w:b/>
                <w:bCs/>
                <w:sz w:val="16"/>
                <w:szCs w:val="16"/>
                <w:lang w:val="es-ES" w:eastAsia="es-ES"/>
              </w:rPr>
            </w:pPr>
            <w:r w:rsidRPr="00AC5A3B">
              <w:rPr>
                <w:rFonts w:cs="Arial"/>
                <w:b/>
                <w:bCs/>
                <w:sz w:val="16"/>
                <w:szCs w:val="16"/>
                <w:lang w:val="es-ES" w:eastAsia="es-ES"/>
              </w:rPr>
              <w:t>2018</w:t>
            </w:r>
          </w:p>
        </w:tc>
      </w:tr>
      <w:tr w:rsidR="001411DC" w:rsidRPr="00C920FC" w14:paraId="29732EFC" w14:textId="77777777" w:rsidTr="00A00355">
        <w:trPr>
          <w:trHeight w:val="225"/>
          <w:jc w:val="center"/>
        </w:trPr>
        <w:tc>
          <w:tcPr>
            <w:tcW w:w="4260" w:type="dxa"/>
            <w:tcBorders>
              <w:top w:val="nil"/>
              <w:left w:val="nil"/>
              <w:bottom w:val="nil"/>
              <w:right w:val="nil"/>
            </w:tcBorders>
            <w:shd w:val="clear" w:color="auto" w:fill="auto"/>
            <w:vAlign w:val="bottom"/>
            <w:hideMark/>
          </w:tcPr>
          <w:p w14:paraId="0CBC6926" w14:textId="77777777" w:rsidR="001411DC" w:rsidRPr="00AC5A3B" w:rsidRDefault="001411DC" w:rsidP="00A00355">
            <w:pPr>
              <w:jc w:val="center"/>
              <w:rPr>
                <w:rFonts w:cs="Arial"/>
                <w:b/>
                <w:bCs/>
                <w:sz w:val="16"/>
                <w:szCs w:val="16"/>
                <w:lang w:val="es-ES" w:eastAsia="es-ES"/>
              </w:rPr>
            </w:pPr>
          </w:p>
        </w:tc>
        <w:tc>
          <w:tcPr>
            <w:tcW w:w="1180" w:type="dxa"/>
            <w:tcBorders>
              <w:top w:val="nil"/>
              <w:left w:val="nil"/>
              <w:bottom w:val="nil"/>
              <w:right w:val="nil"/>
            </w:tcBorders>
            <w:shd w:val="clear" w:color="auto" w:fill="auto"/>
            <w:vAlign w:val="bottom"/>
            <w:hideMark/>
          </w:tcPr>
          <w:p w14:paraId="331A8676" w14:textId="77777777" w:rsidR="001411DC" w:rsidRPr="00AC5A3B" w:rsidRDefault="001411DC" w:rsidP="00A00355">
            <w:pPr>
              <w:rPr>
                <w:rFonts w:ascii="Times New Roman" w:hAnsi="Times New Roman"/>
                <w:szCs w:val="20"/>
                <w:lang w:val="es-ES" w:eastAsia="es-ES"/>
              </w:rPr>
            </w:pPr>
          </w:p>
        </w:tc>
        <w:tc>
          <w:tcPr>
            <w:tcW w:w="1300" w:type="dxa"/>
            <w:tcBorders>
              <w:top w:val="nil"/>
              <w:left w:val="nil"/>
              <w:bottom w:val="nil"/>
              <w:right w:val="nil"/>
            </w:tcBorders>
            <w:shd w:val="clear" w:color="auto" w:fill="auto"/>
            <w:vAlign w:val="bottom"/>
            <w:hideMark/>
          </w:tcPr>
          <w:p w14:paraId="1BA5246D" w14:textId="77777777" w:rsidR="001411DC" w:rsidRPr="00AC5A3B" w:rsidRDefault="001411DC" w:rsidP="00A00355">
            <w:pPr>
              <w:rPr>
                <w:rFonts w:ascii="Times New Roman" w:hAnsi="Times New Roman"/>
                <w:szCs w:val="20"/>
                <w:lang w:val="es-ES" w:eastAsia="es-ES"/>
              </w:rPr>
            </w:pPr>
          </w:p>
        </w:tc>
      </w:tr>
      <w:tr w:rsidR="001411DC" w:rsidRPr="00C920FC" w14:paraId="6C0AC166" w14:textId="77777777" w:rsidTr="00A00355">
        <w:trPr>
          <w:trHeight w:val="225"/>
          <w:jc w:val="center"/>
        </w:trPr>
        <w:tc>
          <w:tcPr>
            <w:tcW w:w="4260" w:type="dxa"/>
            <w:tcBorders>
              <w:top w:val="nil"/>
              <w:left w:val="nil"/>
              <w:bottom w:val="nil"/>
              <w:right w:val="nil"/>
            </w:tcBorders>
            <w:shd w:val="clear" w:color="auto" w:fill="auto"/>
            <w:vAlign w:val="bottom"/>
            <w:hideMark/>
          </w:tcPr>
          <w:p w14:paraId="42DE34AA" w14:textId="77777777" w:rsidR="001411DC" w:rsidRPr="00AC5A3B" w:rsidRDefault="001411DC" w:rsidP="00A00355">
            <w:pPr>
              <w:rPr>
                <w:rFonts w:cs="Arial"/>
                <w:sz w:val="16"/>
                <w:szCs w:val="16"/>
                <w:lang w:val="es-ES" w:eastAsia="es-ES"/>
              </w:rPr>
            </w:pPr>
            <w:r w:rsidRPr="00AC5A3B">
              <w:rPr>
                <w:rFonts w:cs="Arial"/>
                <w:sz w:val="16"/>
                <w:szCs w:val="16"/>
                <w:lang w:val="es-ES" w:eastAsia="es-ES"/>
              </w:rPr>
              <w:t>Clientes por ventas y prestaciones de servicios</w:t>
            </w:r>
          </w:p>
        </w:tc>
        <w:tc>
          <w:tcPr>
            <w:tcW w:w="1180" w:type="dxa"/>
            <w:tcBorders>
              <w:top w:val="nil"/>
              <w:left w:val="nil"/>
              <w:bottom w:val="nil"/>
              <w:right w:val="nil"/>
            </w:tcBorders>
            <w:shd w:val="clear" w:color="auto" w:fill="auto"/>
            <w:vAlign w:val="bottom"/>
            <w:hideMark/>
          </w:tcPr>
          <w:p w14:paraId="619743A9" w14:textId="77777777" w:rsidR="001411DC" w:rsidRPr="00AC5A3B" w:rsidRDefault="001411DC" w:rsidP="00A00355">
            <w:pPr>
              <w:jc w:val="right"/>
              <w:rPr>
                <w:rFonts w:cs="Arial"/>
                <w:sz w:val="16"/>
                <w:szCs w:val="16"/>
                <w:lang w:val="es-ES" w:eastAsia="es-ES"/>
              </w:rPr>
            </w:pPr>
            <w:r w:rsidRPr="00AC5A3B">
              <w:rPr>
                <w:rFonts w:cs="Arial"/>
                <w:sz w:val="16"/>
                <w:szCs w:val="16"/>
                <w:lang w:val="es-ES" w:eastAsia="es-ES"/>
              </w:rPr>
              <w:t xml:space="preserve">   </w:t>
            </w:r>
            <w:r w:rsidRPr="00BE1C6A">
              <w:rPr>
                <w:rFonts w:cs="Arial"/>
                <w:sz w:val="16"/>
                <w:szCs w:val="16"/>
                <w:lang w:val="es-ES" w:eastAsia="es-ES"/>
              </w:rPr>
              <w:t xml:space="preserve"> </w:t>
            </w:r>
            <w:r w:rsidRPr="00A51F2D">
              <w:rPr>
                <w:rFonts w:cs="Arial"/>
                <w:sz w:val="16"/>
                <w:szCs w:val="16"/>
                <w:lang w:val="es-ES" w:eastAsia="es-ES"/>
              </w:rPr>
              <w:t xml:space="preserve"> 1.898.263,25</w:t>
            </w:r>
          </w:p>
        </w:tc>
        <w:tc>
          <w:tcPr>
            <w:tcW w:w="1300" w:type="dxa"/>
            <w:tcBorders>
              <w:top w:val="nil"/>
              <w:left w:val="nil"/>
              <w:bottom w:val="nil"/>
              <w:right w:val="nil"/>
            </w:tcBorders>
            <w:shd w:val="clear" w:color="auto" w:fill="auto"/>
            <w:vAlign w:val="bottom"/>
            <w:hideMark/>
          </w:tcPr>
          <w:p w14:paraId="030B8570" w14:textId="77777777" w:rsidR="001411DC" w:rsidRPr="00AC5A3B" w:rsidRDefault="001411DC" w:rsidP="00A00355">
            <w:pPr>
              <w:jc w:val="right"/>
              <w:rPr>
                <w:rFonts w:cs="Arial"/>
                <w:sz w:val="16"/>
                <w:szCs w:val="16"/>
                <w:lang w:val="es-ES" w:eastAsia="es-ES"/>
              </w:rPr>
            </w:pPr>
            <w:r w:rsidRPr="00AC5A3B">
              <w:rPr>
                <w:rFonts w:cs="Arial"/>
                <w:sz w:val="16"/>
                <w:szCs w:val="16"/>
                <w:lang w:val="es-ES" w:eastAsia="es-ES"/>
              </w:rPr>
              <w:t xml:space="preserve">                       3.569.205,89    </w:t>
            </w:r>
          </w:p>
        </w:tc>
      </w:tr>
      <w:tr w:rsidR="001411DC" w:rsidRPr="00C920FC" w14:paraId="05C17B5D" w14:textId="77777777" w:rsidTr="00A00355">
        <w:trPr>
          <w:trHeight w:val="98"/>
          <w:jc w:val="center"/>
        </w:trPr>
        <w:tc>
          <w:tcPr>
            <w:tcW w:w="4260" w:type="dxa"/>
            <w:tcBorders>
              <w:top w:val="nil"/>
              <w:left w:val="nil"/>
              <w:bottom w:val="single" w:sz="8" w:space="0" w:color="auto"/>
              <w:right w:val="nil"/>
            </w:tcBorders>
            <w:shd w:val="clear" w:color="auto" w:fill="auto"/>
            <w:vAlign w:val="bottom"/>
            <w:hideMark/>
          </w:tcPr>
          <w:p w14:paraId="73AA4A3C" w14:textId="77777777" w:rsidR="001411DC" w:rsidRPr="00AC5A3B" w:rsidRDefault="001411DC" w:rsidP="00A00355">
            <w:pPr>
              <w:rPr>
                <w:rFonts w:cs="Arial"/>
                <w:sz w:val="16"/>
                <w:szCs w:val="16"/>
                <w:lang w:val="es-ES" w:eastAsia="es-ES"/>
              </w:rPr>
            </w:pPr>
            <w:r w:rsidRPr="00AC5A3B">
              <w:rPr>
                <w:rFonts w:cs="Arial"/>
                <w:sz w:val="16"/>
                <w:szCs w:val="16"/>
                <w:lang w:val="es-ES" w:eastAsia="es-ES"/>
              </w:rPr>
              <w:t> </w:t>
            </w:r>
          </w:p>
        </w:tc>
        <w:tc>
          <w:tcPr>
            <w:tcW w:w="1180" w:type="dxa"/>
            <w:tcBorders>
              <w:top w:val="nil"/>
              <w:left w:val="nil"/>
              <w:bottom w:val="single" w:sz="8" w:space="0" w:color="auto"/>
              <w:right w:val="nil"/>
            </w:tcBorders>
            <w:shd w:val="clear" w:color="auto" w:fill="auto"/>
            <w:vAlign w:val="bottom"/>
            <w:hideMark/>
          </w:tcPr>
          <w:p w14:paraId="66EECB04" w14:textId="77777777" w:rsidR="001411DC" w:rsidRPr="00AC5A3B" w:rsidRDefault="001411DC" w:rsidP="00A00355">
            <w:pPr>
              <w:jc w:val="right"/>
              <w:rPr>
                <w:rFonts w:cs="Arial"/>
                <w:sz w:val="16"/>
                <w:szCs w:val="16"/>
                <w:lang w:val="es-ES" w:eastAsia="es-ES"/>
              </w:rPr>
            </w:pPr>
            <w:r w:rsidRPr="00AC5A3B">
              <w:rPr>
                <w:rFonts w:cs="Arial"/>
                <w:sz w:val="16"/>
                <w:szCs w:val="16"/>
                <w:lang w:val="es-ES" w:eastAsia="es-ES"/>
              </w:rPr>
              <w:t> </w:t>
            </w:r>
          </w:p>
        </w:tc>
        <w:tc>
          <w:tcPr>
            <w:tcW w:w="1300" w:type="dxa"/>
            <w:tcBorders>
              <w:top w:val="nil"/>
              <w:left w:val="nil"/>
              <w:bottom w:val="single" w:sz="8" w:space="0" w:color="auto"/>
              <w:right w:val="nil"/>
            </w:tcBorders>
            <w:shd w:val="clear" w:color="auto" w:fill="auto"/>
            <w:vAlign w:val="bottom"/>
            <w:hideMark/>
          </w:tcPr>
          <w:p w14:paraId="71EF55F5" w14:textId="77777777" w:rsidR="001411DC" w:rsidRPr="00AC5A3B" w:rsidRDefault="001411DC" w:rsidP="00A00355">
            <w:pPr>
              <w:jc w:val="right"/>
              <w:rPr>
                <w:rFonts w:cs="Arial"/>
                <w:sz w:val="16"/>
                <w:szCs w:val="16"/>
                <w:lang w:val="es-ES" w:eastAsia="es-ES"/>
              </w:rPr>
            </w:pPr>
            <w:r w:rsidRPr="00AC5A3B">
              <w:rPr>
                <w:rFonts w:cs="Arial"/>
                <w:sz w:val="16"/>
                <w:szCs w:val="16"/>
                <w:lang w:val="es-ES" w:eastAsia="es-ES"/>
              </w:rPr>
              <w:t> </w:t>
            </w:r>
          </w:p>
        </w:tc>
      </w:tr>
      <w:tr w:rsidR="001411DC" w:rsidRPr="00C920FC" w14:paraId="71D9D9D4" w14:textId="77777777" w:rsidTr="00A00355">
        <w:trPr>
          <w:trHeight w:val="225"/>
          <w:jc w:val="center"/>
        </w:trPr>
        <w:tc>
          <w:tcPr>
            <w:tcW w:w="4260" w:type="dxa"/>
            <w:tcBorders>
              <w:top w:val="nil"/>
              <w:left w:val="nil"/>
              <w:bottom w:val="single" w:sz="8" w:space="0" w:color="auto"/>
              <w:right w:val="nil"/>
            </w:tcBorders>
            <w:shd w:val="clear" w:color="000000" w:fill="C0C0C0"/>
            <w:vAlign w:val="bottom"/>
            <w:hideMark/>
          </w:tcPr>
          <w:p w14:paraId="6AA64CDD" w14:textId="77777777" w:rsidR="001411DC" w:rsidRPr="00AC5A3B" w:rsidRDefault="001411DC" w:rsidP="00A00355">
            <w:pPr>
              <w:rPr>
                <w:rFonts w:cs="Arial"/>
                <w:b/>
                <w:bCs/>
                <w:sz w:val="16"/>
                <w:szCs w:val="16"/>
                <w:lang w:val="es-ES" w:eastAsia="es-ES"/>
              </w:rPr>
            </w:pPr>
            <w:r w:rsidRPr="00AC5A3B">
              <w:rPr>
                <w:rFonts w:cs="Arial"/>
                <w:b/>
                <w:bCs/>
                <w:sz w:val="16"/>
                <w:szCs w:val="16"/>
                <w:lang w:val="es-ES" w:eastAsia="es-ES"/>
              </w:rPr>
              <w:t> </w:t>
            </w:r>
          </w:p>
        </w:tc>
        <w:tc>
          <w:tcPr>
            <w:tcW w:w="1180" w:type="dxa"/>
            <w:tcBorders>
              <w:top w:val="nil"/>
              <w:left w:val="nil"/>
              <w:bottom w:val="single" w:sz="8" w:space="0" w:color="auto"/>
              <w:right w:val="nil"/>
            </w:tcBorders>
            <w:shd w:val="clear" w:color="000000" w:fill="BFBFBF"/>
            <w:vAlign w:val="center"/>
            <w:hideMark/>
          </w:tcPr>
          <w:p w14:paraId="08DFAF54" w14:textId="77777777" w:rsidR="001411DC" w:rsidRDefault="001411DC" w:rsidP="00A00355">
            <w:pPr>
              <w:jc w:val="right"/>
              <w:rPr>
                <w:rFonts w:cs="Arial"/>
                <w:b/>
                <w:bCs/>
                <w:sz w:val="16"/>
                <w:szCs w:val="16"/>
                <w:lang w:val="es-ES" w:eastAsia="es-ES"/>
              </w:rPr>
            </w:pPr>
            <w:r w:rsidRPr="00AC5A3B">
              <w:rPr>
                <w:rFonts w:cs="Arial"/>
                <w:b/>
                <w:bCs/>
                <w:sz w:val="16"/>
                <w:szCs w:val="16"/>
                <w:lang w:val="es-ES" w:eastAsia="es-ES"/>
              </w:rPr>
              <w:t xml:space="preserve">  </w:t>
            </w:r>
          </w:p>
          <w:p w14:paraId="0855D25B" w14:textId="77777777" w:rsidR="001411DC" w:rsidRPr="00AC5A3B" w:rsidRDefault="001411DC" w:rsidP="00A00355">
            <w:pPr>
              <w:jc w:val="right"/>
              <w:rPr>
                <w:rFonts w:cs="Arial"/>
                <w:b/>
                <w:bCs/>
                <w:sz w:val="16"/>
                <w:szCs w:val="16"/>
                <w:lang w:val="es-ES" w:eastAsia="es-ES"/>
              </w:rPr>
            </w:pPr>
            <w:r w:rsidRPr="00A51F2D">
              <w:rPr>
                <w:rFonts w:cs="Arial"/>
                <w:b/>
                <w:bCs/>
                <w:sz w:val="16"/>
                <w:szCs w:val="16"/>
                <w:lang w:val="es-ES" w:eastAsia="es-ES"/>
              </w:rPr>
              <w:t>1.898.263,25</w:t>
            </w:r>
          </w:p>
        </w:tc>
        <w:tc>
          <w:tcPr>
            <w:tcW w:w="1300" w:type="dxa"/>
            <w:tcBorders>
              <w:top w:val="nil"/>
              <w:left w:val="nil"/>
              <w:bottom w:val="single" w:sz="8" w:space="0" w:color="auto"/>
              <w:right w:val="nil"/>
            </w:tcBorders>
            <w:shd w:val="clear" w:color="000000" w:fill="BFBFBF"/>
            <w:vAlign w:val="center"/>
            <w:hideMark/>
          </w:tcPr>
          <w:p w14:paraId="5F73A04F" w14:textId="77777777" w:rsidR="001411DC" w:rsidRPr="00AC5A3B" w:rsidRDefault="001411DC" w:rsidP="00A00355">
            <w:pPr>
              <w:jc w:val="right"/>
              <w:rPr>
                <w:rFonts w:cs="Arial"/>
                <w:b/>
                <w:bCs/>
                <w:sz w:val="16"/>
                <w:szCs w:val="16"/>
                <w:lang w:val="es-ES" w:eastAsia="es-ES"/>
              </w:rPr>
            </w:pPr>
            <w:r w:rsidRPr="00AC5A3B">
              <w:rPr>
                <w:rFonts w:cs="Arial"/>
                <w:b/>
                <w:bCs/>
                <w:sz w:val="16"/>
                <w:szCs w:val="16"/>
                <w:lang w:val="es-ES" w:eastAsia="es-ES"/>
              </w:rPr>
              <w:t xml:space="preserve">                      3.569.205,89   </w:t>
            </w:r>
          </w:p>
        </w:tc>
      </w:tr>
    </w:tbl>
    <w:p w14:paraId="4D867FC5" w14:textId="77777777" w:rsidR="001411DC" w:rsidRPr="00C920FC" w:rsidRDefault="001411DC" w:rsidP="001411DC">
      <w:pPr>
        <w:rPr>
          <w:rFonts w:cs="Arial"/>
          <w:color w:val="FF0000"/>
        </w:rPr>
      </w:pPr>
    </w:p>
    <w:p w14:paraId="3BE075D1" w14:textId="77777777" w:rsidR="001411DC" w:rsidRPr="00350871" w:rsidRDefault="001411DC" w:rsidP="001411DC">
      <w:pPr>
        <w:autoSpaceDE w:val="0"/>
        <w:autoSpaceDN w:val="0"/>
        <w:adjustRightInd w:val="0"/>
        <w:spacing w:before="240" w:line="240" w:lineRule="atLeast"/>
        <w:rPr>
          <w:rFonts w:cs="Arial"/>
        </w:rPr>
      </w:pPr>
      <w:r w:rsidRPr="00350871">
        <w:rPr>
          <w:rFonts w:cs="Arial"/>
        </w:rPr>
        <w:lastRenderedPageBreak/>
        <w:t xml:space="preserve">Dentro del epígrafe Clientes por ventas y prestaciones de servicios, la Sociedad tiene contabilizadas facturas pendientes de formalizar por </w:t>
      </w:r>
      <w:r w:rsidRPr="00A51F2D">
        <w:rPr>
          <w:rFonts w:cs="Arial"/>
        </w:rPr>
        <w:t xml:space="preserve">1.898.263,25 </w:t>
      </w:r>
      <w:r w:rsidRPr="00350871">
        <w:rPr>
          <w:rFonts w:cs="Arial"/>
        </w:rPr>
        <w:t xml:space="preserve">euros en 2019, que corresponden principalmente a las liquidaciones de los derechos de cobro por la compensación insular y </w:t>
      </w:r>
      <w:proofErr w:type="spellStart"/>
      <w:r w:rsidRPr="00350871">
        <w:rPr>
          <w:rFonts w:cs="Arial"/>
        </w:rPr>
        <w:t>extrapeninsular</w:t>
      </w:r>
      <w:proofErr w:type="spellEnd"/>
      <w:r w:rsidRPr="00350871">
        <w:rPr>
          <w:rFonts w:cs="Arial"/>
        </w:rPr>
        <w:t xml:space="preserve"> peajes de acceso (en adelante SEIE / SENP)</w:t>
      </w:r>
      <w:r>
        <w:rPr>
          <w:rFonts w:cs="Arial"/>
        </w:rPr>
        <w:t>.</w:t>
      </w:r>
    </w:p>
    <w:p w14:paraId="2D14B72E" w14:textId="77777777" w:rsidR="001411DC" w:rsidRPr="00350871" w:rsidRDefault="001411DC" w:rsidP="001411DC">
      <w:pPr>
        <w:autoSpaceDE w:val="0"/>
        <w:autoSpaceDN w:val="0"/>
        <w:adjustRightInd w:val="0"/>
        <w:spacing w:before="240" w:line="240" w:lineRule="atLeast"/>
        <w:rPr>
          <w:rFonts w:cs="Arial"/>
        </w:rPr>
      </w:pPr>
      <w:r w:rsidRPr="00350871">
        <w:rPr>
          <w:rFonts w:cs="Arial"/>
        </w:rPr>
        <w:t xml:space="preserve">La retribución que se otorga a la Central Hidroeólica viene determinada por lo dispuesto en la Orden IET/1711/2013 de 23 de septiembre, que establece el método de cálculo de los costes variables y del término de garantía de potencia de la Central. La </w:t>
      </w:r>
      <w:bookmarkStart w:id="0" w:name="_Hlk32425689"/>
      <w:r w:rsidRPr="00350871">
        <w:rPr>
          <w:rFonts w:cs="Arial"/>
        </w:rPr>
        <w:t xml:space="preserve">Dirección General de Política Energética y Minas </w:t>
      </w:r>
      <w:bookmarkEnd w:id="0"/>
      <w:r w:rsidRPr="00350871">
        <w:rPr>
          <w:rFonts w:cs="Arial"/>
        </w:rPr>
        <w:t>(en adelante DGPEM), previo informe de la Comisión Nacional de los Mercados y la Competencia (en adelante CNMC), establecerá anualmente el valor unitario de garantía de potencia anual (</w:t>
      </w:r>
      <w:proofErr w:type="spellStart"/>
      <w:r w:rsidRPr="00350871">
        <w:rPr>
          <w:rFonts w:cs="Arial"/>
        </w:rPr>
        <w:t>GPOT</w:t>
      </w:r>
      <w:r w:rsidRPr="00350871">
        <w:rPr>
          <w:rFonts w:cs="Arial"/>
          <w:sz w:val="18"/>
        </w:rPr>
        <w:t>n</w:t>
      </w:r>
      <w:proofErr w:type="spellEnd"/>
      <w:r w:rsidRPr="00350871">
        <w:rPr>
          <w:rFonts w:cs="Arial"/>
        </w:rPr>
        <w:t>) reconocida a la Central Hidroeólica (en adelante CHE).</w:t>
      </w:r>
    </w:p>
    <w:p w14:paraId="0EC43AE7" w14:textId="77777777" w:rsidR="001411DC" w:rsidRPr="007D265C" w:rsidRDefault="001411DC" w:rsidP="001411DC">
      <w:pPr>
        <w:autoSpaceDE w:val="0"/>
        <w:autoSpaceDN w:val="0"/>
        <w:adjustRightInd w:val="0"/>
        <w:spacing w:before="240" w:line="240" w:lineRule="atLeast"/>
        <w:rPr>
          <w:rFonts w:cs="Arial"/>
        </w:rPr>
      </w:pPr>
      <w:r w:rsidRPr="007D265C">
        <w:rPr>
          <w:rFonts w:cs="Arial"/>
        </w:rPr>
        <w:t xml:space="preserve">Con fecha 15 de marzo de 2018 </w:t>
      </w:r>
      <w:bookmarkStart w:id="1" w:name="_Hlk32425672"/>
      <w:r w:rsidRPr="007D265C">
        <w:rPr>
          <w:rFonts w:cs="Arial"/>
        </w:rPr>
        <w:t xml:space="preserve">tuvo entrada en la Sociedad escrito de la DGPEM con la propuesta de resolución por la que se establece la retribución por garantía de potencia para el año 2018 de la Central. Sobre la base de esta propuesta, la Dirección de la Sociedad junto con técnicos del sector, ha procedido a estimar los valores de retribución de los costes fijos que resultan para el año 2018 por importe de 6.284.643,48 euros. </w:t>
      </w:r>
      <w:bookmarkEnd w:id="1"/>
    </w:p>
    <w:p w14:paraId="19146592" w14:textId="77777777" w:rsidR="001411DC" w:rsidRPr="007D265C" w:rsidRDefault="001411DC" w:rsidP="001411DC">
      <w:pPr>
        <w:autoSpaceDE w:val="0"/>
        <w:autoSpaceDN w:val="0"/>
        <w:adjustRightInd w:val="0"/>
        <w:spacing w:before="240" w:line="240" w:lineRule="atLeast"/>
        <w:rPr>
          <w:rFonts w:cs="Arial"/>
        </w:rPr>
      </w:pPr>
      <w:r w:rsidRPr="007D265C">
        <w:rPr>
          <w:rFonts w:cs="Arial"/>
        </w:rPr>
        <w:t>A la fecha de elaboración de esta Memoria la DGPEM no ha remitido propuesta de resolución sobre la retribución por garantía de potencia para el año 2019.</w:t>
      </w:r>
    </w:p>
    <w:p w14:paraId="3E89479D" w14:textId="77777777" w:rsidR="001411DC" w:rsidRPr="008F2BD7" w:rsidRDefault="001411DC" w:rsidP="001411DC">
      <w:pPr>
        <w:autoSpaceDE w:val="0"/>
        <w:autoSpaceDN w:val="0"/>
        <w:adjustRightInd w:val="0"/>
        <w:spacing w:before="240" w:line="240" w:lineRule="atLeast"/>
        <w:rPr>
          <w:rFonts w:cs="Arial"/>
        </w:rPr>
      </w:pPr>
      <w:r w:rsidRPr="008F2BD7">
        <w:rPr>
          <w:rFonts w:cs="Arial"/>
          <w:i/>
          <w:u w:val="single"/>
        </w:rPr>
        <w:t>Correcciones valorativas</w:t>
      </w:r>
    </w:p>
    <w:p w14:paraId="338D2701" w14:textId="77777777" w:rsidR="001411DC" w:rsidRPr="008F2BD7" w:rsidRDefault="001411DC" w:rsidP="001411DC">
      <w:pPr>
        <w:widowControl w:val="0"/>
        <w:shd w:val="clear" w:color="auto" w:fill="FFFFFF"/>
        <w:rPr>
          <w:rFonts w:cs="Arial"/>
          <w:highlight w:val="yellow"/>
        </w:rPr>
      </w:pPr>
    </w:p>
    <w:p w14:paraId="491E2A74" w14:textId="538D1DB4" w:rsidR="001411DC" w:rsidRPr="008F2BD7" w:rsidRDefault="001411DC" w:rsidP="001411DC">
      <w:pPr>
        <w:widowControl w:val="0"/>
        <w:shd w:val="clear" w:color="auto" w:fill="FFFFFF"/>
        <w:rPr>
          <w:rFonts w:cs="Arial"/>
        </w:rPr>
      </w:pPr>
      <w:r w:rsidRPr="008F2BD7">
        <w:rPr>
          <w:rFonts w:cs="Arial"/>
        </w:rPr>
        <w:t xml:space="preserve">El saldo de la partida “Clientes por ventas y prestaciones de servicios” se presenta neto de las correcciones valorativas por deterioro. </w:t>
      </w:r>
      <w:r>
        <w:rPr>
          <w:rFonts w:cs="Arial"/>
        </w:rPr>
        <w:t>Durante los ejercicios 2019 y 2018 no se han producido</w:t>
      </w:r>
      <w:r w:rsidRPr="008F2BD7">
        <w:rPr>
          <w:rFonts w:cs="Arial"/>
        </w:rPr>
        <w:t xml:space="preserve"> movimientos</w:t>
      </w:r>
      <w:r>
        <w:rPr>
          <w:rFonts w:cs="Arial"/>
        </w:rPr>
        <w:t xml:space="preserve"> por corre</w:t>
      </w:r>
      <w:r w:rsidR="001C436C">
        <w:rPr>
          <w:rFonts w:cs="Arial"/>
        </w:rPr>
        <w:t>c</w:t>
      </w:r>
      <w:r>
        <w:rPr>
          <w:rFonts w:cs="Arial"/>
        </w:rPr>
        <w:t xml:space="preserve">ciones valorativas por deterioro. </w:t>
      </w:r>
    </w:p>
    <w:p w14:paraId="74163314" w14:textId="147336E7" w:rsidR="008E4915" w:rsidRDefault="008E4915" w:rsidP="008E4915">
      <w:pPr>
        <w:rPr>
          <w:rFonts w:cs="Arial"/>
          <w:b/>
        </w:rPr>
      </w:pPr>
    </w:p>
    <w:sectPr w:rsidR="008E491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2C5" w14:textId="77777777" w:rsidR="004877A8" w:rsidRDefault="004877A8" w:rsidP="004877A8">
      <w:r>
        <w:separator/>
      </w:r>
    </w:p>
  </w:endnote>
  <w:endnote w:type="continuationSeparator" w:id="0">
    <w:p w14:paraId="59D0B806" w14:textId="77777777" w:rsidR="004877A8" w:rsidRDefault="004877A8" w:rsidP="004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323" w14:textId="77777777" w:rsidR="004877A8" w:rsidRPr="007D5E34" w:rsidRDefault="004877A8" w:rsidP="004877A8">
    <w:pPr>
      <w:pStyle w:val="Piedepgina"/>
      <w:jc w:val="center"/>
      <w:rPr>
        <w:color w:val="4472C4" w:themeColor="accent1"/>
        <w:sz w:val="14"/>
        <w:szCs w:val="10"/>
      </w:rPr>
    </w:pPr>
    <w:r w:rsidRPr="007D5E34">
      <w:rPr>
        <w:color w:val="4472C4" w:themeColor="accent1"/>
        <w:sz w:val="14"/>
        <w:szCs w:val="10"/>
      </w:rPr>
      <w:t>C/Doctor Quintero,11-38900 Valverde-El Hierro – Registro Mercantil de El Hierro – Tomo 7 – Folio 91 – Hoja IH-17 – C.I.F.: A-38799383</w:t>
    </w:r>
  </w:p>
  <w:p w14:paraId="632674F4" w14:textId="77777777" w:rsidR="004877A8" w:rsidRPr="004877A8" w:rsidRDefault="004877A8" w:rsidP="004877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CA5E" w14:textId="77777777" w:rsidR="004877A8" w:rsidRDefault="004877A8" w:rsidP="004877A8">
      <w:r>
        <w:separator/>
      </w:r>
    </w:p>
  </w:footnote>
  <w:footnote w:type="continuationSeparator" w:id="0">
    <w:p w14:paraId="3CB4418F" w14:textId="77777777" w:rsidR="004877A8" w:rsidRDefault="004877A8" w:rsidP="0048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6" w:type="dxa"/>
      <w:tblCellMar>
        <w:left w:w="0" w:type="dxa"/>
        <w:right w:w="0" w:type="dxa"/>
      </w:tblCellMar>
      <w:tblLook w:val="04A0" w:firstRow="1" w:lastRow="0" w:firstColumn="1" w:lastColumn="0" w:noHBand="0" w:noVBand="1"/>
    </w:tblPr>
    <w:tblGrid>
      <w:gridCol w:w="5529"/>
      <w:gridCol w:w="7697"/>
    </w:tblGrid>
    <w:tr w:rsidR="004877A8" w14:paraId="421DB84B" w14:textId="77777777" w:rsidTr="00047C9A">
      <w:trPr>
        <w:trHeight w:val="1418"/>
      </w:trPr>
      <w:tc>
        <w:tcPr>
          <w:tcW w:w="5529" w:type="dxa"/>
          <w:tcMar>
            <w:top w:w="0" w:type="dxa"/>
            <w:left w:w="108" w:type="dxa"/>
            <w:bottom w:w="0" w:type="dxa"/>
            <w:right w:w="108" w:type="dxa"/>
          </w:tcMar>
          <w:hideMark/>
        </w:tcPr>
        <w:p w14:paraId="0F073CEE" w14:textId="77777777" w:rsidR="004877A8" w:rsidRDefault="004877A8" w:rsidP="004877A8">
          <w:pPr>
            <w:rPr>
              <w:noProof/>
              <w:sz w:val="22"/>
              <w:lang w:val="es-ES"/>
            </w:rPr>
          </w:pPr>
          <w:r>
            <w:rPr>
              <w:noProof/>
              <w:sz w:val="22"/>
              <w:lang w:val="es-ES"/>
            </w:rPr>
            <w:drawing>
              <wp:anchor distT="0" distB="0" distL="114300" distR="114300" simplePos="0" relativeHeight="251659264" behindDoc="1" locked="0" layoutInCell="1" allowOverlap="1" wp14:anchorId="0933EC04" wp14:editId="27F215F8">
                <wp:simplePos x="0" y="0"/>
                <wp:positionH relativeFrom="column">
                  <wp:posOffset>3871</wp:posOffset>
                </wp:positionH>
                <wp:positionV relativeFrom="paragraph">
                  <wp:posOffset>-248285</wp:posOffset>
                </wp:positionV>
                <wp:extent cx="1249680" cy="1101144"/>
                <wp:effectExtent l="0" t="0" r="762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jpg"/>
                        <pic:cNvPicPr/>
                      </pic:nvPicPr>
                      <pic:blipFill rotWithShape="1">
                        <a:blip r:embed="rId1">
                          <a:extLst>
                            <a:ext uri="{28A0092B-C50C-407E-A947-70E740481C1C}">
                              <a14:useLocalDpi xmlns:a14="http://schemas.microsoft.com/office/drawing/2010/main" val="0"/>
                            </a:ext>
                          </a:extLst>
                        </a:blip>
                        <a:srcRect l="1688" r="1" b="3791"/>
                        <a:stretch/>
                      </pic:blipFill>
                      <pic:spPr bwMode="auto">
                        <a:xfrm>
                          <a:off x="0" y="0"/>
                          <a:ext cx="1249680" cy="110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93FBE" w14:textId="77777777" w:rsidR="004877A8" w:rsidRDefault="004877A8" w:rsidP="004877A8">
          <w:pPr>
            <w:rPr>
              <w:sz w:val="22"/>
              <w:lang w:val="es-ES"/>
            </w:rPr>
          </w:pPr>
          <w:r>
            <w:rPr>
              <w:sz w:val="22"/>
              <w:lang w:val="es-ES"/>
            </w:rPr>
            <w:t xml:space="preserve">                       </w:t>
          </w:r>
        </w:p>
      </w:tc>
      <w:tc>
        <w:tcPr>
          <w:tcW w:w="7697" w:type="dxa"/>
          <w:tcMar>
            <w:top w:w="0" w:type="dxa"/>
            <w:left w:w="108" w:type="dxa"/>
            <w:bottom w:w="0" w:type="dxa"/>
            <w:right w:w="108" w:type="dxa"/>
          </w:tcMar>
        </w:tcPr>
        <w:p w14:paraId="14CF283A" w14:textId="77777777" w:rsidR="004877A8" w:rsidRDefault="004877A8" w:rsidP="004877A8">
          <w:pPr>
            <w:rPr>
              <w:noProof/>
            </w:rPr>
          </w:pPr>
          <w:r>
            <w:rPr>
              <w:noProof/>
            </w:rPr>
            <w:drawing>
              <wp:inline distT="0" distB="0" distL="0" distR="0" wp14:anchorId="0D418DA2" wp14:editId="26E33EB8">
                <wp:extent cx="355786" cy="6480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t xml:space="preserve"> </w:t>
          </w:r>
          <w:r>
            <w:rPr>
              <w:noProof/>
            </w:rPr>
            <w:drawing>
              <wp:inline distT="0" distB="0" distL="0" distR="0" wp14:anchorId="76E9DB87" wp14:editId="0497BD36">
                <wp:extent cx="356067" cy="64800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067" cy="648000"/>
                        </a:xfrm>
                        <a:prstGeom prst="rect">
                          <a:avLst/>
                        </a:prstGeom>
                        <a:noFill/>
                        <a:ln>
                          <a:noFill/>
                        </a:ln>
                      </pic:spPr>
                    </pic:pic>
                  </a:graphicData>
                </a:graphic>
              </wp:inline>
            </w:drawing>
          </w:r>
          <w:r>
            <w:rPr>
              <w:noProof/>
            </w:rPr>
            <w:t xml:space="preserve"> </w:t>
          </w:r>
          <w:r>
            <w:rPr>
              <w:noProof/>
            </w:rPr>
            <w:drawing>
              <wp:inline distT="0" distB="0" distL="0" distR="0" wp14:anchorId="4C427B23" wp14:editId="2D7AC23C">
                <wp:extent cx="355786" cy="64800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t xml:space="preserve"> </w:t>
          </w:r>
          <w:r>
            <w:object w:dxaOrig="2895" w:dyaOrig="2895" w14:anchorId="500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5" o:title=""/>
              </v:shape>
              <o:OLEObject Type="Embed" ProgID="PBrush" ShapeID="_x0000_i1025" DrawAspect="Content" ObjectID="_1686394775" r:id="rId6"/>
            </w:object>
          </w:r>
        </w:p>
        <w:p w14:paraId="6A47087E" w14:textId="77777777" w:rsidR="004877A8" w:rsidRPr="001411BD" w:rsidRDefault="004877A8" w:rsidP="004877A8">
          <w:pPr>
            <w:rPr>
              <w:sz w:val="8"/>
              <w:szCs w:val="8"/>
            </w:rPr>
          </w:pPr>
          <w:r>
            <w:rPr>
              <w:sz w:val="9"/>
              <w:szCs w:val="9"/>
            </w:rPr>
            <w:t xml:space="preserve">  </w:t>
          </w:r>
          <w:r w:rsidRPr="001411BD">
            <w:rPr>
              <w:sz w:val="8"/>
              <w:szCs w:val="8"/>
            </w:rPr>
            <w:t xml:space="preserve">ER-0242/2019    </w:t>
          </w:r>
          <w:r>
            <w:rPr>
              <w:sz w:val="8"/>
              <w:szCs w:val="8"/>
            </w:rPr>
            <w:t xml:space="preserve">    </w:t>
          </w:r>
          <w:r w:rsidRPr="001411BD">
            <w:rPr>
              <w:sz w:val="8"/>
              <w:szCs w:val="8"/>
            </w:rPr>
            <w:t xml:space="preserve">GA-2019/0085    </w:t>
          </w:r>
          <w:r>
            <w:rPr>
              <w:sz w:val="8"/>
              <w:szCs w:val="8"/>
            </w:rPr>
            <w:t xml:space="preserve">   </w:t>
          </w:r>
          <w:r w:rsidRPr="001411BD">
            <w:rPr>
              <w:sz w:val="8"/>
              <w:szCs w:val="8"/>
            </w:rPr>
            <w:t>SST-0056/2019</w:t>
          </w:r>
        </w:p>
      </w:tc>
    </w:tr>
  </w:tbl>
  <w:p w14:paraId="0FCB6D90" w14:textId="77777777" w:rsidR="004877A8" w:rsidRDefault="004877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15"/>
    <w:rsid w:val="001411DC"/>
    <w:rsid w:val="001C436C"/>
    <w:rsid w:val="004877A8"/>
    <w:rsid w:val="00595EAB"/>
    <w:rsid w:val="00672A2A"/>
    <w:rsid w:val="00867A40"/>
    <w:rsid w:val="008E4915"/>
    <w:rsid w:val="00BE267E"/>
    <w:rsid w:val="00D64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BAD11"/>
  <w15:chartTrackingRefBased/>
  <w15:docId w15:val="{DFD2798B-B841-468A-A6FF-0D9AC1D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15"/>
    <w:pPr>
      <w:spacing w:after="0" w:line="240" w:lineRule="auto"/>
      <w:jc w:val="both"/>
    </w:pPr>
    <w:rPr>
      <w:rFonts w:ascii="Arial" w:eastAsia="Times New Roman" w:hAnsi="Arial"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7A8"/>
    <w:pPr>
      <w:tabs>
        <w:tab w:val="center" w:pos="4252"/>
        <w:tab w:val="right" w:pos="8504"/>
      </w:tabs>
    </w:pPr>
  </w:style>
  <w:style w:type="character" w:customStyle="1" w:styleId="EncabezadoCar">
    <w:name w:val="Encabezado Car"/>
    <w:basedOn w:val="Fuentedeprrafopredeter"/>
    <w:link w:val="Encabezado"/>
    <w:uiPriority w:val="99"/>
    <w:rsid w:val="004877A8"/>
    <w:rPr>
      <w:rFonts w:ascii="Arial" w:eastAsia="Times New Roman" w:hAnsi="Arial" w:cs="Times New Roman"/>
      <w:sz w:val="20"/>
      <w:szCs w:val="24"/>
      <w:lang w:val="es-ES_tradnl"/>
    </w:rPr>
  </w:style>
  <w:style w:type="paragraph" w:styleId="Piedepgina">
    <w:name w:val="footer"/>
    <w:basedOn w:val="Normal"/>
    <w:link w:val="PiedepginaCar"/>
    <w:uiPriority w:val="99"/>
    <w:unhideWhenUsed/>
    <w:rsid w:val="004877A8"/>
    <w:pPr>
      <w:tabs>
        <w:tab w:val="center" w:pos="4252"/>
        <w:tab w:val="right" w:pos="8504"/>
      </w:tabs>
    </w:pPr>
  </w:style>
  <w:style w:type="character" w:customStyle="1" w:styleId="PiedepginaCar">
    <w:name w:val="Pie de página Car"/>
    <w:basedOn w:val="Fuentedeprrafopredeter"/>
    <w:link w:val="Piedepgina"/>
    <w:uiPriority w:val="99"/>
    <w:rsid w:val="004877A8"/>
    <w:rPr>
      <w:rFonts w:ascii="Arial" w:eastAsia="Times New Roman" w:hAnsi="Arial"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oleObject" Target="embeddings/oleObject1.bin"/><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Linares</dc:creator>
  <cp:keywords/>
  <dc:description/>
  <cp:lastModifiedBy>Monica Herrera</cp:lastModifiedBy>
  <cp:revision>4</cp:revision>
  <dcterms:created xsi:type="dcterms:W3CDTF">2021-06-28T13:12:00Z</dcterms:created>
  <dcterms:modified xsi:type="dcterms:W3CDTF">2021-06-28T13:13:00Z</dcterms:modified>
</cp:coreProperties>
</file>